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5D36DB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B22773">
        <w:tc>
          <w:tcPr>
            <w:tcW w:w="8978" w:type="dxa"/>
          </w:tcPr>
          <w:p w:rsidR="00D35AD6" w:rsidRPr="009E00C1" w:rsidRDefault="005D36DB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5D36DB" w:rsidP="00DB5614">
      <w:pPr>
        <w:tabs>
          <w:tab w:val="left" w:pos="-720"/>
          <w:tab w:val="left" w:pos="0"/>
        </w:tabs>
        <w:suppressAutoHyphens/>
        <w:jc w:val="both"/>
      </w:pPr>
    </w:p>
    <w:p w:rsidR="00C80622" w:rsidRDefault="005D36DB" w:rsidP="00DB5614">
      <w:pPr>
        <w:tabs>
          <w:tab w:val="left" w:pos="-720"/>
          <w:tab w:val="left" w:pos="0"/>
        </w:tabs>
        <w:suppressAutoHyphens/>
        <w:jc w:val="both"/>
        <w:sectPr w:rsidR="00C80622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C80622" w:rsidRDefault="005D36DB" w:rsidP="00C80622">
      <w:pPr>
        <w:ind w:left="2124" w:hanging="2124"/>
        <w:jc w:val="both"/>
        <w:rPr>
          <w:rFonts w:cs="Arial"/>
          <w:b/>
          <w:bCs/>
          <w:szCs w:val="24"/>
        </w:rPr>
      </w:pPr>
    </w:p>
    <w:p w:rsidR="00C80622" w:rsidRPr="00C80622" w:rsidRDefault="005D36DB" w:rsidP="00C80622">
      <w:pPr>
        <w:ind w:left="2124" w:hanging="2124"/>
        <w:jc w:val="both"/>
        <w:rPr>
          <w:rFonts w:cs="Arial"/>
          <w:szCs w:val="22"/>
        </w:rPr>
      </w:pPr>
      <w:r w:rsidRPr="00C80622">
        <w:rPr>
          <w:rFonts w:cs="Arial"/>
          <w:b/>
          <w:bCs/>
          <w:sz w:val="28"/>
          <w:szCs w:val="24"/>
        </w:rPr>
        <w:t>PARA:</w:t>
      </w:r>
      <w:r w:rsidRPr="00C80622">
        <w:rPr>
          <w:rFonts w:cs="Arial"/>
          <w:b/>
          <w:bCs/>
          <w:szCs w:val="22"/>
        </w:rPr>
        <w:tab/>
      </w:r>
      <w:r w:rsidRPr="00C80622">
        <w:rPr>
          <w:rFonts w:cs="Arial"/>
          <w:b/>
          <w:szCs w:val="22"/>
        </w:rPr>
        <w:t>Dra. ADRIANA DEL PILAR GUERRA MARTÍNEZ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ind w:left="2124" w:firstLine="6"/>
        <w:rPr>
          <w:rFonts w:cs="Arial"/>
          <w:szCs w:val="22"/>
        </w:rPr>
      </w:pPr>
      <w:r w:rsidRPr="00C80622">
        <w:rPr>
          <w:rFonts w:cs="Arial"/>
          <w:szCs w:val="22"/>
        </w:rPr>
        <w:t>Responsable Proceso de Tecnologías de la Información y las Comunicaciones.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rPr>
          <w:rFonts w:cs="Arial"/>
          <w:color w:val="FF0000"/>
          <w:szCs w:val="22"/>
        </w:rPr>
      </w:pPr>
      <w:r w:rsidRPr="00C80622">
        <w:rPr>
          <w:rFonts w:cs="Arial"/>
          <w:color w:val="FF0000"/>
          <w:szCs w:val="22"/>
        </w:rPr>
        <w:t xml:space="preserve">                                 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rPr>
          <w:rFonts w:cs="Arial"/>
          <w:color w:val="FF0000"/>
          <w:szCs w:val="22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C80622">
        <w:rPr>
          <w:rFonts w:cs="Arial"/>
          <w:b/>
          <w:bCs/>
          <w:szCs w:val="22"/>
        </w:rPr>
        <w:t>DE:</w:t>
      </w:r>
      <w:r w:rsidRPr="00C80622">
        <w:rPr>
          <w:rFonts w:cs="Arial"/>
          <w:szCs w:val="22"/>
        </w:rPr>
        <w:tab/>
        <w:t xml:space="preserve">                     </w:t>
      </w:r>
      <w:r w:rsidRPr="00C80622">
        <w:rPr>
          <w:rFonts w:cs="Arial"/>
          <w:szCs w:val="22"/>
        </w:rPr>
        <w:tab/>
      </w:r>
      <w:r w:rsidRPr="00C80622">
        <w:rPr>
          <w:rFonts w:cs="Arial"/>
          <w:b/>
          <w:szCs w:val="22"/>
        </w:rPr>
        <w:t>JEFE OFICINA CONTROL INTERNO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ind w:left="2124" w:hanging="2124"/>
        <w:rPr>
          <w:rFonts w:cs="Arial"/>
          <w:szCs w:val="22"/>
        </w:rPr>
      </w:pPr>
    </w:p>
    <w:p w:rsidR="00C80622" w:rsidRPr="00C80622" w:rsidRDefault="005D36DB" w:rsidP="00C80622">
      <w:pPr>
        <w:tabs>
          <w:tab w:val="left" w:pos="360"/>
          <w:tab w:val="center" w:pos="4135"/>
        </w:tabs>
        <w:suppressAutoHyphens/>
        <w:ind w:left="2127" w:hanging="2127"/>
        <w:jc w:val="both"/>
        <w:rPr>
          <w:rFonts w:cs="Arial"/>
          <w:szCs w:val="22"/>
          <w:lang w:val="es-ES_tradnl"/>
        </w:rPr>
      </w:pPr>
      <w:r w:rsidRPr="00C80622">
        <w:rPr>
          <w:rFonts w:cs="Arial"/>
          <w:b/>
          <w:szCs w:val="22"/>
          <w:lang w:val="es-ES_tradnl"/>
        </w:rPr>
        <w:t>ASUNTO:</w:t>
      </w:r>
      <w:r w:rsidRPr="00C80622">
        <w:rPr>
          <w:rFonts w:cs="Arial"/>
          <w:szCs w:val="22"/>
          <w:lang w:val="es-ES_tradnl"/>
        </w:rPr>
        <w:tab/>
      </w:r>
      <w:r w:rsidRPr="00C80622">
        <w:rPr>
          <w:rFonts w:cs="Arial"/>
          <w:szCs w:val="22"/>
          <w:lang w:val="es-ES_tradnl"/>
        </w:rPr>
        <w:tab/>
        <w:t>Resumen Plan de Mejoramiento y Evaluación y Seguimiento de Riesgos - Proceso Tecnologías de la Información y las Comunicaciones  con corte a septiembre de 2015.</w:t>
      </w:r>
    </w:p>
    <w:p w:rsidR="00C80622" w:rsidRPr="00C80622" w:rsidRDefault="005D36DB" w:rsidP="00C80622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color w:val="FF0000"/>
          <w:sz w:val="22"/>
          <w:szCs w:val="22"/>
          <w:lang w:val="es-ES_tradnl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  <w:szCs w:val="24"/>
        </w:rPr>
      </w:pPr>
      <w:r w:rsidRPr="00C80622">
        <w:rPr>
          <w:rFonts w:cs="Arial"/>
          <w:szCs w:val="24"/>
        </w:rPr>
        <w:t xml:space="preserve">Respetada Doctora, atento </w:t>
      </w:r>
      <w:r w:rsidRPr="00C80622">
        <w:rPr>
          <w:rFonts w:cs="Arial"/>
          <w:szCs w:val="24"/>
        </w:rPr>
        <w:t>saludo: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C80622">
        <w:rPr>
          <w:rFonts w:cs="Arial"/>
          <w:szCs w:val="24"/>
        </w:rPr>
        <w:t>Todos los Procesos del Sistema Integrado de Gestión de la Entidad deben reportar el seguimiento a los Planes de Mejoramiento y de Riesgos siguiendo los parámetros definidos mediante la R.R 021 de 2015 y con  periodicidad trimestral</w:t>
      </w:r>
      <w:r>
        <w:rPr>
          <w:rFonts w:cs="Arial"/>
          <w:szCs w:val="24"/>
          <w:vertAlign w:val="superscript"/>
        </w:rPr>
        <w:footnoteReference w:id="1"/>
      </w:r>
      <w:r w:rsidRPr="00C80622">
        <w:rPr>
          <w:rFonts w:cs="Arial"/>
          <w:szCs w:val="24"/>
        </w:rPr>
        <w:t>, a su vez, est</w:t>
      </w:r>
      <w:r w:rsidRPr="00C80622">
        <w:rPr>
          <w:rFonts w:cs="Arial"/>
          <w:szCs w:val="24"/>
        </w:rPr>
        <w:t>a oficina, con base en dicho seguimiento deben realizar la verificación de acciones.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C80622">
        <w:rPr>
          <w:rFonts w:cs="Arial"/>
          <w:szCs w:val="24"/>
        </w:rPr>
        <w:t>Recordado lo anterior y teniendo en cuenta que a la fecha no se recibió la información del Proceso del cual es responsable,  remitimos el Plan de Mejoramiento actualizado</w:t>
      </w:r>
      <w:r w:rsidRPr="00C80622">
        <w:rPr>
          <w:rFonts w:cs="Arial"/>
          <w:szCs w:val="24"/>
        </w:rPr>
        <w:t xml:space="preserve">, es decir, incluyendo el resultado de la Auditoria Regular – vigencia 2014 de la Auditoría Fiscal. 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C80622">
        <w:rPr>
          <w:rFonts w:cs="Arial"/>
          <w:color w:val="171717"/>
          <w:szCs w:val="24"/>
        </w:rPr>
        <w:t>En cuanto al Plan de Evaluación  y Seguimiento de Riesgos, recibido en el mes de junio, se estableció que el mismo no está actualizado, toda vez que los r</w:t>
      </w:r>
      <w:r w:rsidRPr="00C80622">
        <w:rPr>
          <w:rFonts w:cs="Arial"/>
          <w:color w:val="171717"/>
          <w:szCs w:val="24"/>
        </w:rPr>
        <w:t>iesgos incluidos en Plan de Riesgos Institucional (Copia Controlada) publicado en la página web de la Entidad, no se encuentran en el anexo correspondiente; ante lo cual, esta oficina diligenció el formato y lo remite para que la Dirección a su cargo, efec</w:t>
      </w:r>
      <w:r w:rsidRPr="00C80622">
        <w:rPr>
          <w:rFonts w:cs="Arial"/>
          <w:color w:val="171717"/>
          <w:szCs w:val="24"/>
        </w:rPr>
        <w:t>tué de manera inmediata dicho</w:t>
      </w:r>
      <w:r w:rsidRPr="00C80622">
        <w:rPr>
          <w:rFonts w:cs="Arial"/>
          <w:szCs w:val="24"/>
        </w:rPr>
        <w:t xml:space="preserve"> seguimiento.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C80622">
        <w:rPr>
          <w:rFonts w:cs="Arial"/>
          <w:szCs w:val="24"/>
        </w:rPr>
        <w:t>Como resultado de la labor de revisión de hallazgos y riesgos y de actualización de formatos para equipararlos con los definidos en la R.R. 021, se obtuvieron los documentos que se anexan a la presente comunicaci</w:t>
      </w:r>
      <w:r w:rsidRPr="00C80622">
        <w:rPr>
          <w:rFonts w:cs="Arial"/>
          <w:szCs w:val="24"/>
        </w:rPr>
        <w:t xml:space="preserve">ón. 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Default="005D36DB" w:rsidP="00C8062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C80622">
        <w:rPr>
          <w:rFonts w:cs="Arial"/>
          <w:szCs w:val="24"/>
        </w:rPr>
        <w:t>A continuación, se presenta la información consolidada de los dos planes sobre los cuales versa el presente escrito: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Pr="00C80622" w:rsidRDefault="005D36DB" w:rsidP="00C80622">
      <w:pPr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szCs w:val="24"/>
          <w:lang w:val="es-CO" w:eastAsia="es-CO"/>
        </w:rPr>
      </w:pPr>
      <w:r w:rsidRPr="00C80622">
        <w:rPr>
          <w:rFonts w:cs="Arial"/>
          <w:b/>
          <w:szCs w:val="24"/>
          <w:lang w:val="es-CO" w:eastAsia="es-CO"/>
        </w:rPr>
        <w:t>PLAN DE MEJORAMIENTO  - ACCIONES CORRECTIVAS Y DE MEJORA</w:t>
      </w:r>
    </w:p>
    <w:p w:rsidR="00C80622" w:rsidRPr="00C80622" w:rsidRDefault="005D36DB" w:rsidP="00C80622">
      <w:pPr>
        <w:tabs>
          <w:tab w:val="left" w:pos="8647"/>
        </w:tabs>
        <w:spacing w:line="276" w:lineRule="auto"/>
        <w:jc w:val="both"/>
        <w:rPr>
          <w:rFonts w:cs="Arial"/>
          <w:szCs w:val="24"/>
          <w:lang w:val="es-CO" w:eastAsia="es-CO"/>
        </w:rPr>
      </w:pPr>
    </w:p>
    <w:p w:rsidR="00C80622" w:rsidRPr="00C80622" w:rsidRDefault="005D36DB" w:rsidP="00C80622">
      <w:pPr>
        <w:tabs>
          <w:tab w:val="left" w:pos="8647"/>
        </w:tabs>
        <w:jc w:val="both"/>
        <w:rPr>
          <w:rFonts w:cs="Arial"/>
          <w:szCs w:val="24"/>
          <w:lang w:val="es-CO" w:eastAsia="es-CO"/>
        </w:rPr>
      </w:pPr>
      <w:r w:rsidRPr="00C80622">
        <w:rPr>
          <w:rFonts w:cs="Arial"/>
          <w:szCs w:val="24"/>
          <w:lang w:val="es-CO" w:eastAsia="es-CO"/>
        </w:rPr>
        <w:t xml:space="preserve">De un total de veinticinco (22) hallazgos registrados a junio de 2015, y </w:t>
      </w:r>
      <w:r w:rsidRPr="00C80622">
        <w:rPr>
          <w:rFonts w:cs="Arial"/>
          <w:szCs w:val="24"/>
          <w:lang w:val="es-CO" w:eastAsia="es-CO"/>
        </w:rPr>
        <w:t>teniendo en cuenta el informe final de Auditoria Fiscal de vigencia 2014, entregado en el mes de septiembre del año en curso, se cierran los siguientes tres hallazgos – origen 6:</w:t>
      </w:r>
    </w:p>
    <w:p w:rsidR="00C80622" w:rsidRPr="00C80622" w:rsidRDefault="005D36DB" w:rsidP="00C80622">
      <w:pPr>
        <w:tabs>
          <w:tab w:val="left" w:pos="8647"/>
        </w:tabs>
        <w:spacing w:line="276" w:lineRule="auto"/>
        <w:jc w:val="both"/>
        <w:rPr>
          <w:rFonts w:cs="Arial"/>
          <w:sz w:val="22"/>
          <w:szCs w:val="24"/>
          <w:lang w:val="es-CO" w:eastAsia="es-CO"/>
        </w:rPr>
      </w:pPr>
    </w:p>
    <w:p w:rsidR="00C80622" w:rsidRPr="00C80622" w:rsidRDefault="005D36DB" w:rsidP="00C80622">
      <w:pPr>
        <w:numPr>
          <w:ilvl w:val="0"/>
          <w:numId w:val="2"/>
        </w:numPr>
        <w:ind w:left="709"/>
        <w:jc w:val="both"/>
        <w:rPr>
          <w:rFonts w:cs="Arial"/>
          <w:i/>
          <w:sz w:val="22"/>
          <w:szCs w:val="24"/>
          <w:lang w:val="es-CO" w:eastAsia="es-CO"/>
        </w:rPr>
      </w:pPr>
      <w:r w:rsidRPr="00C80622">
        <w:rPr>
          <w:rFonts w:cs="Arial"/>
          <w:sz w:val="22"/>
          <w:szCs w:val="24"/>
          <w:lang w:val="es-CO" w:eastAsia="es-CO"/>
        </w:rPr>
        <w:t>“2</w:t>
      </w:r>
      <w:r w:rsidRPr="00C80622">
        <w:rPr>
          <w:rFonts w:cs="Arial"/>
          <w:i/>
          <w:sz w:val="22"/>
          <w:szCs w:val="24"/>
          <w:lang w:val="es-CO" w:eastAsia="es-CO"/>
        </w:rPr>
        <w:t>.2.3.1. Hecho irregular con presunto Hallazgo Administrativo, Planes de Me</w:t>
      </w:r>
      <w:r w:rsidRPr="00C80622">
        <w:rPr>
          <w:rFonts w:cs="Arial"/>
          <w:i/>
          <w:sz w:val="22"/>
          <w:szCs w:val="24"/>
          <w:lang w:val="es-CO" w:eastAsia="es-CO"/>
        </w:rPr>
        <w:t>joramiento En este ámbito la Contraloría de Bogotá suscribe Planes de mejoramiento y cuenta con un plan anual de evaluaciones independientes. …”</w:t>
      </w:r>
    </w:p>
    <w:p w:rsidR="00C80622" w:rsidRPr="00C80622" w:rsidRDefault="005D36DB" w:rsidP="00C80622">
      <w:pPr>
        <w:numPr>
          <w:ilvl w:val="0"/>
          <w:numId w:val="2"/>
        </w:numPr>
        <w:ind w:left="709"/>
        <w:jc w:val="both"/>
        <w:rPr>
          <w:rFonts w:cs="Arial"/>
          <w:i/>
          <w:sz w:val="22"/>
          <w:szCs w:val="24"/>
          <w:lang w:val="es-CO" w:eastAsia="es-CO"/>
        </w:rPr>
      </w:pPr>
      <w:r w:rsidRPr="00C80622">
        <w:rPr>
          <w:rFonts w:cs="Arial"/>
          <w:i/>
          <w:sz w:val="22"/>
          <w:szCs w:val="24"/>
          <w:lang w:val="es-CO" w:eastAsia="es-CO"/>
        </w:rPr>
        <w:t>“Pronunciamiento. Fallas y obsolescencia en la plataforma tecnológica en funcionamiento en la vigencia 2013 y …</w:t>
      </w:r>
      <w:r w:rsidRPr="00C80622">
        <w:rPr>
          <w:rFonts w:cs="Arial"/>
          <w:i/>
          <w:sz w:val="22"/>
          <w:szCs w:val="24"/>
          <w:lang w:val="es-CO" w:eastAsia="es-CO"/>
        </w:rPr>
        <w:t xml:space="preserve">”, </w:t>
      </w:r>
    </w:p>
    <w:p w:rsidR="00C80622" w:rsidRDefault="005D36DB" w:rsidP="00C80622">
      <w:pPr>
        <w:numPr>
          <w:ilvl w:val="0"/>
          <w:numId w:val="2"/>
        </w:numPr>
        <w:ind w:left="709"/>
        <w:jc w:val="both"/>
        <w:rPr>
          <w:rFonts w:cs="Arial"/>
          <w:sz w:val="22"/>
          <w:szCs w:val="24"/>
          <w:lang w:val="es-CO" w:eastAsia="es-CO"/>
        </w:rPr>
      </w:pPr>
      <w:r w:rsidRPr="00C80622">
        <w:rPr>
          <w:rFonts w:cs="Arial"/>
          <w:i/>
          <w:sz w:val="22"/>
          <w:szCs w:val="24"/>
          <w:lang w:val="es-CO" w:eastAsia="es-CO"/>
        </w:rPr>
        <w:t>“2.6.11 Hecho Irregular constitutivo de Presunto hallazgo administrativo, por no incluir los valores de todas las cotizaciones</w:t>
      </w:r>
      <w:r w:rsidRPr="00C80622">
        <w:rPr>
          <w:rFonts w:cs="Arial"/>
          <w:sz w:val="22"/>
          <w:szCs w:val="24"/>
          <w:lang w:val="es-CO" w:eastAsia="es-CO"/>
        </w:rPr>
        <w:t xml:space="preserve"> …”.</w:t>
      </w:r>
    </w:p>
    <w:p w:rsidR="00C80622" w:rsidRPr="00C80622" w:rsidRDefault="005D36DB" w:rsidP="00C80622">
      <w:pPr>
        <w:ind w:left="709"/>
        <w:jc w:val="both"/>
        <w:rPr>
          <w:rFonts w:cs="Arial"/>
          <w:sz w:val="22"/>
          <w:szCs w:val="24"/>
          <w:lang w:val="es-CO" w:eastAsia="es-CO"/>
        </w:rPr>
      </w:pPr>
    </w:p>
    <w:p w:rsidR="00C80622" w:rsidRPr="00C80622" w:rsidRDefault="005D36DB" w:rsidP="00C80622">
      <w:pPr>
        <w:tabs>
          <w:tab w:val="left" w:pos="8647"/>
        </w:tabs>
        <w:jc w:val="both"/>
        <w:rPr>
          <w:rFonts w:cs="Arial"/>
          <w:szCs w:val="24"/>
          <w:lang w:val="es-CO" w:eastAsia="es-CO"/>
        </w:rPr>
      </w:pPr>
      <w:r w:rsidRPr="00C80622">
        <w:rPr>
          <w:rFonts w:cs="Arial"/>
          <w:szCs w:val="24"/>
          <w:lang w:val="es-CO" w:eastAsia="es-CO"/>
        </w:rPr>
        <w:t>Mediante el mismo informe de Auditoría Fiscal, se incorporan siete nuevos hallazgos, para un total de veintiséis hallazg</w:t>
      </w:r>
      <w:r w:rsidRPr="00C80622">
        <w:rPr>
          <w:rFonts w:cs="Arial"/>
          <w:szCs w:val="24"/>
          <w:lang w:val="es-CO" w:eastAsia="es-CO"/>
        </w:rPr>
        <w:t>os en el Plan de Mejoramiento.</w:t>
      </w:r>
    </w:p>
    <w:p w:rsidR="00C80622" w:rsidRPr="00C80622" w:rsidRDefault="005D36DB" w:rsidP="00C80622">
      <w:pPr>
        <w:tabs>
          <w:tab w:val="left" w:pos="8647"/>
        </w:tabs>
        <w:jc w:val="both"/>
        <w:rPr>
          <w:rFonts w:cs="Arial"/>
          <w:szCs w:val="24"/>
          <w:lang w:val="es-CO" w:eastAsia="es-CO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80622">
        <w:rPr>
          <w:rFonts w:cs="Arial"/>
          <w:szCs w:val="24"/>
        </w:rPr>
        <w:t>De acuerdo con lo anterior, la conformación del Plan es como resume en la siguiente tabla: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4"/>
        </w:rPr>
      </w:pPr>
      <w:r w:rsidRPr="00C80622">
        <w:rPr>
          <w:rFonts w:cs="Arial"/>
          <w:b/>
          <w:sz w:val="22"/>
          <w:szCs w:val="24"/>
        </w:rPr>
        <w:t>Tabla 1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4"/>
        </w:rPr>
      </w:pPr>
      <w:r w:rsidRPr="00C80622">
        <w:rPr>
          <w:rFonts w:cs="Arial"/>
          <w:b/>
          <w:sz w:val="22"/>
          <w:szCs w:val="24"/>
        </w:rPr>
        <w:t>Anexo 1 Plan de Mejoramiento – Acciones Correctivas y de Mejora</w:t>
      </w:r>
    </w:p>
    <w:p w:rsidR="00C80622" w:rsidRPr="00C80622" w:rsidRDefault="005D36DB" w:rsidP="00C80622">
      <w:pPr>
        <w:jc w:val="center"/>
        <w:rPr>
          <w:rFonts w:cs="Arial"/>
          <w:b/>
          <w:bCs/>
          <w:sz w:val="20"/>
          <w:szCs w:val="22"/>
        </w:rPr>
      </w:pPr>
    </w:p>
    <w:tbl>
      <w:tblPr>
        <w:tblpPr w:leftFromText="141" w:rightFromText="141" w:vertAnchor="text" w:tblpX="108"/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485"/>
        <w:gridCol w:w="26"/>
        <w:gridCol w:w="1008"/>
        <w:gridCol w:w="415"/>
        <w:gridCol w:w="32"/>
        <w:gridCol w:w="677"/>
        <w:gridCol w:w="563"/>
        <w:gridCol w:w="134"/>
        <w:gridCol w:w="663"/>
        <w:gridCol w:w="602"/>
        <w:gridCol w:w="709"/>
        <w:gridCol w:w="780"/>
      </w:tblGrid>
      <w:tr w:rsidR="00B22773" w:rsidTr="00C80622">
        <w:trPr>
          <w:gridAfter w:val="1"/>
          <w:wAfter w:w="802" w:type="dxa"/>
          <w:trHeight w:val="461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>ORIGEN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 xml:space="preserve">TIPO DE ACCIÓN </w:t>
            </w:r>
          </w:p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>(C o M)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>ABIERTAS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>CERRADAS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 xml:space="preserve">SE SUGIERE </w:t>
            </w:r>
            <w:r w:rsidRPr="00C80622">
              <w:rPr>
                <w:rFonts w:cs="Arial"/>
                <w:b/>
                <w:bCs/>
                <w:sz w:val="16"/>
                <w:szCs w:val="16"/>
              </w:rPr>
              <w:t>EL CIERRE (A*)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0622">
              <w:rPr>
                <w:rFonts w:cs="Arial"/>
                <w:b/>
                <w:bCs/>
                <w:sz w:val="16"/>
                <w:szCs w:val="16"/>
              </w:rPr>
              <w:t>TOTAL CERRADAS + ABIERTAS</w:t>
            </w:r>
          </w:p>
        </w:tc>
      </w:tr>
      <w:tr w:rsidR="00B22773" w:rsidTr="00C80622">
        <w:trPr>
          <w:gridAfter w:val="1"/>
          <w:wAfter w:w="802" w:type="dxa"/>
          <w:trHeight w:val="174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1- AUTOEVALUACIÓN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 Mejora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</w:tr>
      <w:tr w:rsidR="00B22773" w:rsidTr="00C80622">
        <w:trPr>
          <w:gridAfter w:val="1"/>
          <w:wAfter w:w="802" w:type="dxa"/>
          <w:trHeight w:val="34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  <w:lang w:val="es-CO" w:eastAsia="es-CO"/>
              </w:rPr>
            </w:pPr>
            <w:r w:rsidRPr="00C80622">
              <w:rPr>
                <w:rFonts w:cs="Arial"/>
                <w:sz w:val="18"/>
                <w:szCs w:val="16"/>
              </w:rPr>
              <w:t>2- AUDITORIA EFECTUADA POR LA O.C.I.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 Correctiva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3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3</w:t>
            </w:r>
          </w:p>
        </w:tc>
      </w:tr>
      <w:tr w:rsidR="00B22773" w:rsidTr="00C80622">
        <w:trPr>
          <w:gridAfter w:val="1"/>
          <w:wAfter w:w="802" w:type="dxa"/>
          <w:trHeight w:val="34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3- AUDITORIA INTERNA AL S.I.G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 Correctiva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</w:tr>
      <w:tr w:rsidR="00B22773" w:rsidTr="00C80622">
        <w:trPr>
          <w:gridAfter w:val="1"/>
          <w:wAfter w:w="802" w:type="dxa"/>
          <w:trHeight w:val="34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4- AUDITORIA EXTERNA AL S.I.G (Ente certificador)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 Correctiva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</w:tr>
      <w:tr w:rsidR="00B22773" w:rsidTr="00C80622">
        <w:trPr>
          <w:gridAfter w:val="1"/>
          <w:wAfter w:w="802" w:type="dxa"/>
          <w:trHeight w:val="34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  <w:lang w:val="es-CO" w:eastAsia="es-CO"/>
              </w:rPr>
            </w:pPr>
            <w:r w:rsidRPr="00C80622">
              <w:rPr>
                <w:rFonts w:cs="Arial"/>
                <w:sz w:val="18"/>
                <w:szCs w:val="16"/>
              </w:rPr>
              <w:t xml:space="preserve">5. </w:t>
            </w:r>
            <w:r w:rsidRPr="00C80622">
              <w:rPr>
                <w:rFonts w:cs="Arial"/>
                <w:sz w:val="18"/>
                <w:szCs w:val="16"/>
              </w:rPr>
              <w:t>(11) REVISIÓN POR LA DIRECCIÓN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 Correctiva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</w:t>
            </w:r>
          </w:p>
        </w:tc>
      </w:tr>
      <w:tr w:rsidR="00B22773" w:rsidTr="00C80622">
        <w:trPr>
          <w:gridAfter w:val="1"/>
          <w:wAfter w:w="802" w:type="dxa"/>
          <w:trHeight w:val="174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6- AUDITORÍA FISCAL-AF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Correctiva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12</w:t>
            </w:r>
          </w:p>
        </w:tc>
      </w:tr>
      <w:tr w:rsidR="00B22773" w:rsidTr="00C80622">
        <w:trPr>
          <w:gridAfter w:val="1"/>
          <w:wAfter w:w="801" w:type="dxa"/>
          <w:trHeight w:val="285"/>
        </w:trPr>
        <w:tc>
          <w:tcPr>
            <w:tcW w:w="4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TOTAL PARCIAL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14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19</w:t>
            </w:r>
          </w:p>
        </w:tc>
      </w:tr>
      <w:tr w:rsidR="00B22773" w:rsidTr="00C80622">
        <w:trPr>
          <w:gridAfter w:val="1"/>
          <w:wAfter w:w="800" w:type="dxa"/>
          <w:trHeight w:val="335"/>
        </w:trPr>
        <w:tc>
          <w:tcPr>
            <w:tcW w:w="884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HALLAZGOS INGRESADOS EN EL TERCER TRIMESTRE DEL 2015</w:t>
            </w:r>
          </w:p>
        </w:tc>
      </w:tr>
      <w:tr w:rsidR="00B22773" w:rsidTr="00C80622">
        <w:trPr>
          <w:gridAfter w:val="1"/>
          <w:wAfter w:w="802" w:type="dxa"/>
          <w:trHeight w:val="318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6- AUDITORÍA FISCAL-AF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Correctiva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sz w:val="18"/>
                <w:szCs w:val="16"/>
              </w:rPr>
            </w:pPr>
            <w:r w:rsidRPr="00C80622">
              <w:rPr>
                <w:rFonts w:cs="Arial"/>
                <w:sz w:val="18"/>
                <w:szCs w:val="16"/>
              </w:rPr>
              <w:t>7</w:t>
            </w:r>
          </w:p>
        </w:tc>
      </w:tr>
      <w:tr w:rsidR="00B22773" w:rsidTr="00C80622">
        <w:trPr>
          <w:gridAfter w:val="1"/>
          <w:wAfter w:w="801" w:type="dxa"/>
          <w:trHeight w:val="308"/>
        </w:trPr>
        <w:tc>
          <w:tcPr>
            <w:tcW w:w="4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TOTAL GENERAL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 xml:space="preserve">           21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80622">
              <w:rPr>
                <w:rFonts w:cs="Arial"/>
                <w:b/>
                <w:bCs/>
                <w:sz w:val="18"/>
                <w:szCs w:val="16"/>
              </w:rPr>
              <w:t>26</w:t>
            </w:r>
          </w:p>
        </w:tc>
      </w:tr>
      <w:tr w:rsidR="00B22773" w:rsidTr="00C80622">
        <w:trPr>
          <w:trHeight w:val="49"/>
        </w:trPr>
        <w:tc>
          <w:tcPr>
            <w:tcW w:w="9647" w:type="dxa"/>
            <w:gridSpan w:val="13"/>
            <w:vAlign w:val="center"/>
            <w:hideMark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  <w:r w:rsidRPr="00C80622">
              <w:rPr>
                <w:rFonts w:cs="Arial"/>
                <w:sz w:val="16"/>
                <w:szCs w:val="22"/>
              </w:rPr>
              <w:t xml:space="preserve">Fuente: </w:t>
            </w:r>
            <w:r w:rsidRPr="00C80622">
              <w:rPr>
                <w:rFonts w:cs="Arial"/>
                <w:sz w:val="16"/>
                <w:szCs w:val="22"/>
              </w:rPr>
              <w:t>Anexo 1 – Consolidación Oficina de Control Interno</w:t>
            </w:r>
          </w:p>
        </w:tc>
      </w:tr>
      <w:tr w:rsidR="00B22773" w:rsidTr="00C80622">
        <w:trPr>
          <w:trHeight w:val="49"/>
        </w:trPr>
        <w:tc>
          <w:tcPr>
            <w:tcW w:w="2572" w:type="dxa"/>
            <w:vAlign w:val="center"/>
          </w:tcPr>
          <w:p w:rsidR="00C80622" w:rsidRPr="00C80622" w:rsidRDefault="005D36DB" w:rsidP="00C8062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19" w:type="dxa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25" w:type="dxa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134" w:type="dxa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C80622" w:rsidRPr="00C80622" w:rsidRDefault="005D36DB" w:rsidP="00C80622">
            <w:pPr>
              <w:rPr>
                <w:rFonts w:ascii="Times New Roman" w:hAnsi="Times New Roman"/>
                <w:sz w:val="16"/>
                <w:szCs w:val="16"/>
                <w:lang w:eastAsia="es-CO"/>
              </w:rPr>
            </w:pPr>
          </w:p>
        </w:tc>
      </w:tr>
    </w:tbl>
    <w:p w:rsidR="00C80622" w:rsidRPr="00C80622" w:rsidRDefault="005D36DB" w:rsidP="00C80622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 w:rsidRPr="00C80622">
        <w:rPr>
          <w:rFonts w:cs="Arial"/>
          <w:sz w:val="16"/>
          <w:szCs w:val="22"/>
        </w:rPr>
        <w:t>.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</w:p>
    <w:p w:rsid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C80622">
        <w:rPr>
          <w:rFonts w:cs="Arial"/>
          <w:szCs w:val="24"/>
        </w:rPr>
        <w:t>De igual forma, aunque no se hayan incluido en el Plan de Mejoramiento del Proceso de Tecnologías de la Información y las Comunicaciones, se tienen  9 hallazgos que están bajo la responsabilidad de dicho proceso, sin embargo no se incluyeron para evitar du</w:t>
      </w:r>
      <w:r w:rsidRPr="00C80622">
        <w:rPr>
          <w:rFonts w:cs="Arial"/>
          <w:szCs w:val="24"/>
        </w:rPr>
        <w:t xml:space="preserve">plicidad en los procesos con los cuales se comparte la responsabilidad. A continuación, como medio de reafirmación del compromiso, se presenta la relación: 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C80622">
        <w:rPr>
          <w:rFonts w:cs="Arial"/>
          <w:b/>
          <w:szCs w:val="24"/>
        </w:rPr>
        <w:t>Tabla 2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80622">
        <w:rPr>
          <w:rFonts w:cs="Arial"/>
          <w:b/>
          <w:szCs w:val="24"/>
        </w:rPr>
        <w:t xml:space="preserve">HALLAZGOS CON RESPONSABILIDAD COMPARTIDA 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tbl>
      <w:tblPr>
        <w:tblW w:w="9493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1276"/>
        <w:gridCol w:w="3118"/>
        <w:gridCol w:w="2549"/>
      </w:tblGrid>
      <w:tr w:rsidR="00B22773" w:rsidTr="00C80622">
        <w:trPr>
          <w:trHeight w:val="300"/>
          <w:tblHeader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C80622">
              <w:rPr>
                <w:rFonts w:cs="Arial"/>
                <w:b/>
                <w:bCs/>
                <w:color w:val="FFFFFF"/>
                <w:sz w:val="18"/>
                <w:szCs w:val="18"/>
              </w:rPr>
              <w:t>ORIGEN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C80622">
              <w:rPr>
                <w:rFonts w:cs="Arial"/>
                <w:b/>
                <w:bCs/>
                <w:color w:val="FFFFFF"/>
                <w:sz w:val="18"/>
                <w:szCs w:val="18"/>
              </w:rPr>
              <w:t>CAP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C80622">
              <w:rPr>
                <w:rFonts w:cs="Arial"/>
                <w:b/>
                <w:bCs/>
                <w:color w:val="FFFFFF"/>
                <w:sz w:val="18"/>
                <w:szCs w:val="18"/>
              </w:rPr>
              <w:t>DESCRIPCIÓN DEL HALLAZGO U OBSERVACI</w:t>
            </w:r>
            <w:r w:rsidRPr="00C80622">
              <w:rPr>
                <w:rFonts w:cs="Arial"/>
                <w:b/>
                <w:bCs/>
                <w:color w:val="FFFFFF"/>
                <w:sz w:val="18"/>
                <w:szCs w:val="18"/>
              </w:rPr>
              <w:t>ÓN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C80622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ACCIÓN  CORRECTIVA </w:t>
            </w:r>
          </w:p>
        </w:tc>
      </w:tr>
      <w:tr w:rsidR="00B22773" w:rsidTr="00C80622">
        <w:trPr>
          <w:trHeight w:val="144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INFORME FINAL AUDITORIA REGULAR VIGENCIA 2011.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 xml:space="preserve">2.4.4. Hecho Irregular constitutivo de Presunto Hallazgo Administrativo "Intangibles". Se observó que no se tiene un adecuado reconocimiento, clasificación registro y revelación de 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t>sus licencias y software; si bien es cierto, no afecta el saldo total de los intangibles (1970), si incide en los montos individuales de las subcuentas licencias y software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sz w:val="20"/>
                <w:szCs w:val="18"/>
              </w:rPr>
            </w:pPr>
            <w:r w:rsidRPr="00C80622">
              <w:rPr>
                <w:rFonts w:cs="Arial"/>
                <w:sz w:val="20"/>
                <w:szCs w:val="18"/>
              </w:rPr>
              <w:t xml:space="preserve">Solicitar a la Dirección de Tecnologías de la Información y las Comunicaciones, el </w:t>
            </w:r>
            <w:r w:rsidRPr="00C80622">
              <w:rPr>
                <w:rFonts w:cs="Arial"/>
                <w:sz w:val="20"/>
                <w:szCs w:val="18"/>
              </w:rPr>
              <w:t>inventario de las licencias y software adquirido por la entidad en forma individualizada y cuantificada, con el fin de realizar la reclasificación respectiva.</w:t>
            </w:r>
          </w:p>
        </w:tc>
      </w:tr>
      <w:tr w:rsidR="00B22773" w:rsidTr="00C80622">
        <w:trPr>
          <w:trHeight w:val="144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Informe Final de Auditoría Regular Vigencia 2014- PAAF 2015 - Sept-2015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2.2.1.5 Hallazgo Administrativo con Presunta Incidencia Disciplinaria por el incumplimiento de la RR 004 de 2012 - “Comité Técnico de Seguridad de la Información – CTSI”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sz w:val="20"/>
                <w:szCs w:val="18"/>
              </w:rPr>
            </w:pPr>
            <w:r w:rsidRPr="00C80622">
              <w:rPr>
                <w:rFonts w:cs="Arial"/>
                <w:sz w:val="20"/>
                <w:szCs w:val="18"/>
              </w:rPr>
              <w:t>Reunir el Comité Técnico de Seguridad de la Información, documentando las decisiones q</w:t>
            </w:r>
            <w:r w:rsidRPr="00C80622">
              <w:rPr>
                <w:rFonts w:cs="Arial"/>
                <w:sz w:val="20"/>
                <w:szCs w:val="18"/>
              </w:rPr>
              <w:t>ue se tomen en reunión con sus responsables.</w:t>
            </w:r>
          </w:p>
        </w:tc>
      </w:tr>
      <w:tr w:rsidR="00B22773" w:rsidTr="00C80622">
        <w:trPr>
          <w:trHeight w:val="21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INFORME FINAL AUDITORIA REGULAR VIGENCIA 2011.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2.4.5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2.4.5 Hecho Irregular Constitutivo de Presunto Hallazgo Administrativo. "Reconocimiento de Intangibles".  No se evidenció el reconocimiento ni el registro de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t xml:space="preserve"> bienes inmateriales en producción que son identificables y controlables de cuya utilización o explotación se obtiene un potencial de servicios, donde también se incluye los intangibles formados; es decir, los que ha obtenido y consolidado a través del tie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t xml:space="preserve">mpo y que se 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br/>
              <w:t>caracterizan por generar ventajas comparativas frente a otras entidades.</w:t>
            </w:r>
          </w:p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C80622">
              <w:rPr>
                <w:rFonts w:cs="Arial"/>
                <w:color w:val="000000"/>
                <w:sz w:val="20"/>
                <w:szCs w:val="18"/>
              </w:rPr>
              <w:t>Desarrollo cronograma de actividades propuesto en Acta Nº 4 de Comité Gestores en las 3 fases indicadas</w:t>
            </w:r>
            <w:r>
              <w:rPr>
                <w:rFonts w:cs="Arial"/>
                <w:color w:val="000000"/>
                <w:sz w:val="20"/>
                <w:szCs w:val="18"/>
              </w:rPr>
              <w:t>.</w:t>
            </w: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C80622">
              <w:rPr>
                <w:rFonts w:cs="Arial"/>
                <w:color w:val="000000"/>
                <w:sz w:val="20"/>
                <w:szCs w:val="18"/>
              </w:rPr>
              <w:t>Desarrollo cronograma de actividades propuesto en</w:t>
            </w:r>
            <w:r w:rsidRPr="00C80622">
              <w:rPr>
                <w:rFonts w:cs="Arial"/>
                <w:color w:val="000000"/>
                <w:sz w:val="20"/>
                <w:szCs w:val="18"/>
              </w:rPr>
              <w:t xml:space="preserve"> Acta Nº 4 de Comité Gestores en las 3 fases indicadas</w:t>
            </w: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B22773" w:rsidTr="00C80622">
        <w:trPr>
          <w:trHeight w:val="21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lastRenderedPageBreak/>
              <w:t>Informe Final de Auditoría vigencia 2012- PAAF 2013 - 30 de octubre de 2013.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C80622" w:rsidRDefault="005D36DB" w:rsidP="00C80622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80622">
              <w:rPr>
                <w:rFonts w:cs="Arial"/>
                <w:color w:val="000000"/>
                <w:sz w:val="18"/>
                <w:szCs w:val="18"/>
              </w:rPr>
              <w:t>2.4.2. Hecho irregular constitutivo de Presunto Hallazgo Administrativo: En julio de 2012 con documento “traslado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t xml:space="preserve"> 88” de almacén se sacó del servicio el proyector multimedia video-beam con placa 23664 por valor de $8.7 millones y se trasladó a equipo no equipo no explotados, no obstante al momento de causar la depreciación de dicho elemento se realizó por 8 meses, no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t xml:space="preserve"> siendo coherente con el tiempo que estuvo en servicio. </w:t>
            </w:r>
            <w:r w:rsidRPr="00C80622">
              <w:rPr>
                <w:rFonts w:cs="Arial"/>
                <w:color w:val="000000"/>
                <w:sz w:val="18"/>
                <w:szCs w:val="18"/>
              </w:rPr>
              <w:br/>
            </w:r>
            <w:r w:rsidRPr="00C80622">
              <w:rPr>
                <w:rFonts w:cs="Arial"/>
                <w:b/>
                <w:bCs/>
                <w:color w:val="000000"/>
                <w:sz w:val="18"/>
                <w:szCs w:val="18"/>
              </w:rPr>
              <w:t>Unificación con:</w:t>
            </w:r>
            <w:r w:rsidRPr="00C80622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2.4.2 y 2.4.3  y 2.4.10 vigencia 2014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C80622" w:rsidRPr="00C80622" w:rsidRDefault="005D36DB" w:rsidP="00C8062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0622" w:rsidRPr="00C80622" w:rsidRDefault="005D36DB" w:rsidP="00C80622">
            <w:pPr>
              <w:jc w:val="both"/>
              <w:rPr>
                <w:rFonts w:cs="Arial"/>
                <w:sz w:val="20"/>
                <w:szCs w:val="18"/>
              </w:rPr>
            </w:pPr>
          </w:p>
        </w:tc>
      </w:tr>
      <w:tr w:rsidR="00B22773" w:rsidTr="00C80622">
        <w:trPr>
          <w:trHeight w:val="135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lastRenderedPageBreak/>
              <w:t>Informe Final de Auditoría Regular Vigencia 2014- PAAF 2015 - Sept-2015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 xml:space="preserve">2.4.3 “Diferencias de información entre “Libro auxiliar y 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t>relación detallada de bienes no explotados – Subdirección de Recursos Materiales”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br/>
              <w:t>Unificación con: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br/>
              <w:t xml:space="preserve"> 2.4.2 vigencia 2012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br/>
              <w:t>2.4.4 y 2.4.5 vigencia 2013</w:t>
            </w:r>
            <w:r>
              <w:rPr>
                <w:rFonts w:cs="Arial"/>
                <w:color w:val="0D0D0D"/>
                <w:sz w:val="18"/>
                <w:szCs w:val="18"/>
              </w:rPr>
              <w:t>.</w:t>
            </w:r>
          </w:p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20"/>
                <w:szCs w:val="18"/>
              </w:rPr>
            </w:pPr>
          </w:p>
        </w:tc>
      </w:tr>
      <w:tr w:rsidR="00B22773" w:rsidTr="00C80622">
        <w:trPr>
          <w:trHeight w:val="83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Informe Final de Auditoría Regular Vigencia 2014- PAAF 2015 - Sept-2015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 xml:space="preserve">2.4.4 Hallazgo 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t>administrativo. “Diferencias de información entre las áreas de contabilidad y almacén”.</w:t>
            </w:r>
          </w:p>
        </w:tc>
        <w:tc>
          <w:tcPr>
            <w:tcW w:w="2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20"/>
                <w:szCs w:val="18"/>
              </w:rPr>
            </w:pPr>
          </w:p>
        </w:tc>
      </w:tr>
      <w:tr w:rsidR="00B22773" w:rsidTr="00C80622">
        <w:trPr>
          <w:trHeight w:val="98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Informe Final de Auditoría Regular Vigencia 2014- PAAF 2015 - Sept-2015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2.4.5 Hallazgo Administrativo “Falencias en el Reconocimiento de equipos de cómputo”.</w:t>
            </w:r>
          </w:p>
        </w:tc>
        <w:tc>
          <w:tcPr>
            <w:tcW w:w="2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20"/>
                <w:szCs w:val="18"/>
              </w:rPr>
            </w:pPr>
          </w:p>
        </w:tc>
      </w:tr>
      <w:tr w:rsidR="00B22773" w:rsidTr="00C80622">
        <w:trPr>
          <w:trHeight w:val="86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Informe Final de Auditoría Regular Vigencia 2014- PAAF 2015 - Sept-2015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</w:t>
            </w:r>
            <w:r>
              <w:rPr>
                <w:rFonts w:cs="Arial"/>
                <w:color w:val="0D0D0D"/>
                <w:sz w:val="18"/>
                <w:szCs w:val="18"/>
              </w:rPr>
              <w:t>.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t>4</w:t>
            </w:r>
            <w:r>
              <w:rPr>
                <w:rFonts w:cs="Arial"/>
                <w:color w:val="0D0D0D"/>
                <w:sz w:val="18"/>
                <w:szCs w:val="18"/>
              </w:rPr>
              <w:t>.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t>9 Hallazgo administrativo “Inadecuado reconocimiento de bienes”.</w:t>
            </w:r>
          </w:p>
        </w:tc>
        <w:tc>
          <w:tcPr>
            <w:tcW w:w="2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20"/>
                <w:szCs w:val="18"/>
              </w:rPr>
            </w:pPr>
          </w:p>
        </w:tc>
      </w:tr>
      <w:tr w:rsidR="00B22773" w:rsidTr="00C80622">
        <w:trPr>
          <w:trHeight w:val="11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Informe Final de Auditoría Regular Vigencia 2014- PAAF 2015 - Sept-2015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center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color w:val="0D0D0D"/>
                <w:sz w:val="18"/>
                <w:szCs w:val="18"/>
              </w:rPr>
              <w:t>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2" w:rsidRPr="00C80622" w:rsidRDefault="005D36DB" w:rsidP="00C80622">
            <w:pPr>
              <w:jc w:val="both"/>
              <w:rPr>
                <w:rFonts w:cs="Arial"/>
                <w:b/>
                <w:bCs/>
                <w:color w:val="0D0D0D"/>
                <w:sz w:val="18"/>
                <w:szCs w:val="18"/>
              </w:rPr>
            </w:pPr>
            <w:r>
              <w:rPr>
                <w:rFonts w:cs="Arial"/>
                <w:color w:val="0D0D0D"/>
                <w:sz w:val="18"/>
                <w:szCs w:val="18"/>
              </w:rPr>
              <w:t>2.4.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t xml:space="preserve">10 Hallazgo administrativo 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t>“Propiedades, Planta y Equipo, Otros Activos”.</w:t>
            </w:r>
            <w:r w:rsidRPr="00C80622">
              <w:rPr>
                <w:rFonts w:cs="Arial"/>
                <w:color w:val="0D0D0D"/>
                <w:sz w:val="18"/>
                <w:szCs w:val="18"/>
              </w:rPr>
              <w:br/>
            </w:r>
            <w:r w:rsidRPr="00C80622">
              <w:rPr>
                <w:rFonts w:cs="Arial"/>
                <w:b/>
                <w:bCs/>
                <w:color w:val="0D0D0D"/>
                <w:sz w:val="18"/>
                <w:szCs w:val="18"/>
              </w:rPr>
              <w:t>Unificación con:</w:t>
            </w:r>
          </w:p>
          <w:p w:rsidR="00C80622" w:rsidRPr="00C80622" w:rsidRDefault="005D36DB" w:rsidP="00C80622">
            <w:pPr>
              <w:jc w:val="both"/>
              <w:rPr>
                <w:rFonts w:cs="Arial"/>
                <w:b/>
                <w:bCs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b/>
                <w:bCs/>
                <w:color w:val="0D0D0D"/>
                <w:sz w:val="18"/>
                <w:szCs w:val="18"/>
              </w:rPr>
              <w:t>2.4.2 vigencia 2012</w:t>
            </w:r>
          </w:p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18"/>
                <w:szCs w:val="18"/>
              </w:rPr>
            </w:pPr>
            <w:r w:rsidRPr="00C80622">
              <w:rPr>
                <w:rFonts w:cs="Arial"/>
                <w:b/>
                <w:bCs/>
                <w:color w:val="0D0D0D"/>
                <w:sz w:val="18"/>
                <w:szCs w:val="18"/>
              </w:rPr>
              <w:t>2.4.4 y 2.4.5 vigencia 2013</w:t>
            </w:r>
          </w:p>
        </w:tc>
        <w:tc>
          <w:tcPr>
            <w:tcW w:w="2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22" w:rsidRPr="00C80622" w:rsidRDefault="005D36DB" w:rsidP="00C80622">
            <w:pPr>
              <w:jc w:val="both"/>
              <w:rPr>
                <w:rFonts w:cs="Arial"/>
                <w:color w:val="0D0D0D"/>
                <w:sz w:val="20"/>
                <w:szCs w:val="18"/>
              </w:rPr>
            </w:pPr>
          </w:p>
        </w:tc>
      </w:tr>
    </w:tbl>
    <w:p w:rsid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C80622" w:rsidRPr="00C80622" w:rsidRDefault="005D36DB" w:rsidP="00C806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b/>
          <w:szCs w:val="24"/>
        </w:rPr>
      </w:pPr>
      <w:r w:rsidRPr="00C80622">
        <w:rPr>
          <w:rFonts w:cs="Arial"/>
          <w:b/>
          <w:szCs w:val="24"/>
        </w:rPr>
        <w:t>PLAN DE EVALUACIÓN  Y SEGUIMIENTO DE RIESGOS.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ind w:left="66"/>
        <w:jc w:val="both"/>
        <w:rPr>
          <w:rFonts w:cs="Arial"/>
          <w:b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C80622">
        <w:rPr>
          <w:rFonts w:cs="Arial"/>
          <w:szCs w:val="24"/>
        </w:rPr>
        <w:t>En cuanto a la matriz de riesgos,  se cuenta con dos (2)  riesgos, los cuales</w:t>
      </w:r>
      <w:r>
        <w:rPr>
          <w:rFonts w:cs="Arial"/>
          <w:szCs w:val="24"/>
        </w:rPr>
        <w:t xml:space="preserve"> se encuentran abiertos; se debe efectuar seguimiento e manera urgente:</w:t>
      </w:r>
      <w:r w:rsidRPr="00C80622">
        <w:rPr>
          <w:rFonts w:cs="Arial"/>
          <w:szCs w:val="24"/>
        </w:rPr>
        <w:t xml:space="preserve"> </w:t>
      </w:r>
    </w:p>
    <w:p w:rsidR="00C80622" w:rsidRDefault="005D36DB" w:rsidP="00C80622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2"/>
        </w:rPr>
      </w:pPr>
      <w:r w:rsidRPr="00C80622">
        <w:rPr>
          <w:rFonts w:cs="Arial"/>
          <w:b/>
          <w:szCs w:val="22"/>
        </w:rPr>
        <w:t>OBSERVACIONES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2"/>
        </w:rPr>
      </w:pPr>
    </w:p>
    <w:p w:rsidR="00C80622" w:rsidRPr="00C80622" w:rsidRDefault="005D36DB" w:rsidP="00C80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C80622">
        <w:rPr>
          <w:rFonts w:cs="Arial"/>
          <w:szCs w:val="22"/>
        </w:rPr>
        <w:t xml:space="preserve">Acatar lo establecido mediante la Resolución 021 de 2015,  para evitar incumplimientos institucionales referentes a la labor reglada mediante la Resolución en </w:t>
      </w:r>
      <w:r w:rsidRPr="00C80622">
        <w:rPr>
          <w:rFonts w:cs="Arial"/>
          <w:szCs w:val="22"/>
        </w:rPr>
        <w:t>mención.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FF0000"/>
          <w:szCs w:val="22"/>
        </w:rPr>
      </w:pP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2"/>
        </w:rPr>
      </w:pPr>
      <w:r w:rsidRPr="00C80622">
        <w:rPr>
          <w:rFonts w:cs="Arial"/>
          <w:b/>
          <w:bCs/>
          <w:szCs w:val="22"/>
        </w:rPr>
        <w:t>RECOMENDACIONES</w:t>
      </w:r>
    </w:p>
    <w:p w:rsidR="00C80622" w:rsidRPr="00C80622" w:rsidRDefault="005D36DB" w:rsidP="00C806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</w:p>
    <w:p w:rsidR="00C80622" w:rsidRPr="00C80622" w:rsidRDefault="005D36DB" w:rsidP="00C806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C80622">
        <w:rPr>
          <w:rFonts w:cs="Arial"/>
          <w:szCs w:val="22"/>
        </w:rPr>
        <w:t>Coordinar de manera adecuada la labor de seguimiento a los planes de Mejoramiento y de Riesgos, para evitar los incumplimientos que se han presentado.</w:t>
      </w:r>
    </w:p>
    <w:p w:rsidR="00C80622" w:rsidRPr="00C80622" w:rsidRDefault="005D36DB" w:rsidP="00C806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C80622">
        <w:rPr>
          <w:rFonts w:cs="Arial"/>
          <w:szCs w:val="22"/>
        </w:rPr>
        <w:t>Efectuar de manera urgente el seguimiento a las acciones a cargo dela Direcció</w:t>
      </w:r>
      <w:r w:rsidRPr="00C80622">
        <w:rPr>
          <w:rFonts w:cs="Arial"/>
          <w:szCs w:val="22"/>
        </w:rPr>
        <w:t xml:space="preserve">n a su cargo, por cuanto, algunos plazos para la ejecución de las acciones se encuentran vencidas o próximas a vencerse, entre ellas, aquellas a las cuales, la Auditoría Fiscal no les dio cierre, otorgando dos meses para ejecutarlas, plazo que vence el </w:t>
      </w:r>
      <w:r w:rsidRPr="00C80622">
        <w:rPr>
          <w:rFonts w:cs="Arial"/>
          <w:b/>
          <w:szCs w:val="22"/>
          <w:u w:val="single"/>
        </w:rPr>
        <w:t>pró</w:t>
      </w:r>
      <w:r w:rsidRPr="00C80622">
        <w:rPr>
          <w:rFonts w:cs="Arial"/>
          <w:b/>
          <w:szCs w:val="22"/>
          <w:u w:val="single"/>
        </w:rPr>
        <w:t>ximo 26 de noviembre.</w:t>
      </w:r>
    </w:p>
    <w:p w:rsidR="00C80622" w:rsidRPr="00C80622" w:rsidRDefault="005D36DB" w:rsidP="00C80622">
      <w:pPr>
        <w:jc w:val="both"/>
        <w:rPr>
          <w:rFonts w:cs="Arial"/>
          <w:color w:val="FF0000"/>
          <w:szCs w:val="22"/>
        </w:rPr>
      </w:pPr>
    </w:p>
    <w:p w:rsidR="00C80622" w:rsidRPr="00C80622" w:rsidRDefault="005D36DB" w:rsidP="00C80622">
      <w:pPr>
        <w:jc w:val="both"/>
        <w:rPr>
          <w:rFonts w:cs="Arial"/>
          <w:color w:val="FF0000"/>
          <w:szCs w:val="22"/>
        </w:rPr>
      </w:pPr>
    </w:p>
    <w:p w:rsidR="00C80622" w:rsidRDefault="005D36DB" w:rsidP="00C80622">
      <w:pPr>
        <w:jc w:val="both"/>
        <w:rPr>
          <w:rFonts w:cs="Arial"/>
          <w:szCs w:val="22"/>
        </w:rPr>
      </w:pPr>
      <w:r w:rsidRPr="00C80622">
        <w:rPr>
          <w:rFonts w:cs="Arial"/>
          <w:szCs w:val="22"/>
        </w:rPr>
        <w:t>Cordialmente,</w:t>
      </w:r>
    </w:p>
    <w:p w:rsidR="00C80622" w:rsidRDefault="005D36DB" w:rsidP="00C80622">
      <w:pPr>
        <w:jc w:val="both"/>
        <w:rPr>
          <w:rFonts w:cs="Arial"/>
          <w:szCs w:val="22"/>
        </w:rPr>
      </w:pPr>
    </w:p>
    <w:p w:rsidR="00C80622" w:rsidRDefault="005D36DB" w:rsidP="00C80622">
      <w:pPr>
        <w:jc w:val="both"/>
        <w:rPr>
          <w:rFonts w:cs="Arial"/>
          <w:szCs w:val="22"/>
        </w:rPr>
      </w:pPr>
    </w:p>
    <w:p w:rsidR="00C80622" w:rsidRPr="00C80622" w:rsidRDefault="005D36DB" w:rsidP="00C80622">
      <w:pPr>
        <w:jc w:val="both"/>
        <w:rPr>
          <w:rFonts w:cs="Arial"/>
          <w:szCs w:val="22"/>
        </w:rPr>
      </w:pPr>
    </w:p>
    <w:p w:rsidR="00C80622" w:rsidRPr="00C80622" w:rsidRDefault="005D36DB" w:rsidP="00C80622">
      <w:pPr>
        <w:jc w:val="both"/>
        <w:rPr>
          <w:rFonts w:cs="Arial"/>
          <w:szCs w:val="22"/>
        </w:rPr>
      </w:pPr>
    </w:p>
    <w:p w:rsidR="00A66099" w:rsidRPr="00C80622" w:rsidRDefault="005D36DB" w:rsidP="0080302C">
      <w:pPr>
        <w:rPr>
          <w:sz w:val="28"/>
        </w:rPr>
      </w:pPr>
    </w:p>
    <w:p w:rsidR="00EC36C7" w:rsidRDefault="005D36DB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B22773" w:rsidTr="00EC36C7">
        <w:trPr>
          <w:trHeight w:val="988"/>
        </w:trPr>
        <w:tc>
          <w:tcPr>
            <w:tcW w:w="4673" w:type="dxa"/>
          </w:tcPr>
          <w:p w:rsidR="007A6B81" w:rsidRDefault="005D36DB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7D6583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B22773" w:rsidTr="00EC36C7">
        <w:trPr>
          <w:trHeight w:val="286"/>
        </w:trPr>
        <w:tc>
          <w:tcPr>
            <w:tcW w:w="4673" w:type="dxa"/>
          </w:tcPr>
          <w:p w:rsidR="007A6B81" w:rsidRDefault="005D36DB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5D36DB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5D36DB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80622" w:rsidRPr="00C80622" w:rsidRDefault="005D36DB" w:rsidP="00C80622">
      <w:pPr>
        <w:jc w:val="both"/>
        <w:rPr>
          <w:rFonts w:cs="Arial"/>
          <w:color w:val="0D0D0D"/>
          <w:sz w:val="20"/>
          <w:szCs w:val="22"/>
          <w:lang w:val="es-ES_tradnl"/>
        </w:rPr>
      </w:pPr>
      <w:r w:rsidRPr="00C80622">
        <w:rPr>
          <w:rFonts w:cs="Arial"/>
          <w:color w:val="0D0D0D"/>
          <w:sz w:val="20"/>
          <w:szCs w:val="22"/>
          <w:lang w:val="es-ES_tradnl"/>
        </w:rPr>
        <w:lastRenderedPageBreak/>
        <w:t>Anexos:</w:t>
      </w:r>
    </w:p>
    <w:p w:rsidR="00C80622" w:rsidRPr="00C80622" w:rsidRDefault="005D36DB" w:rsidP="00C80622">
      <w:pPr>
        <w:jc w:val="both"/>
        <w:rPr>
          <w:rFonts w:cs="Arial"/>
          <w:color w:val="0D0D0D"/>
          <w:sz w:val="18"/>
          <w:szCs w:val="22"/>
          <w:lang w:val="es-ES_tradnl"/>
        </w:rPr>
      </w:pPr>
    </w:p>
    <w:p w:rsidR="00C80622" w:rsidRPr="00C80622" w:rsidRDefault="005D36DB" w:rsidP="00C80622">
      <w:pPr>
        <w:jc w:val="both"/>
        <w:rPr>
          <w:rFonts w:cs="Arial"/>
          <w:color w:val="0D0D0D"/>
          <w:sz w:val="18"/>
          <w:szCs w:val="22"/>
          <w:lang w:val="es-ES_tradnl"/>
        </w:rPr>
      </w:pPr>
      <w:r w:rsidRPr="00C80622">
        <w:rPr>
          <w:rFonts w:cs="Arial"/>
          <w:color w:val="0D0D0D"/>
          <w:sz w:val="18"/>
          <w:szCs w:val="22"/>
          <w:lang w:val="es-ES_tradnl"/>
        </w:rPr>
        <w:t xml:space="preserve">Plan de Mejoramiento Proceso Evaluación y Control </w:t>
      </w:r>
    </w:p>
    <w:p w:rsidR="00C80622" w:rsidRPr="00C80622" w:rsidRDefault="005D36DB" w:rsidP="00C80622">
      <w:pPr>
        <w:jc w:val="both"/>
        <w:rPr>
          <w:rFonts w:cs="Arial"/>
          <w:color w:val="0D0D0D"/>
          <w:sz w:val="18"/>
          <w:szCs w:val="22"/>
          <w:lang w:val="es-ES_tradnl"/>
        </w:rPr>
      </w:pPr>
      <w:r w:rsidRPr="00C80622">
        <w:rPr>
          <w:rFonts w:cs="Arial"/>
          <w:color w:val="0D0D0D"/>
          <w:sz w:val="18"/>
          <w:szCs w:val="22"/>
          <w:lang w:val="es-ES_tradnl"/>
        </w:rPr>
        <w:t>Plan de Administración, Evaluación y Seguimiento de Riesgos.</w:t>
      </w:r>
    </w:p>
    <w:p w:rsidR="00C80622" w:rsidRPr="00C80622" w:rsidRDefault="005D36DB" w:rsidP="00C80622">
      <w:pPr>
        <w:jc w:val="both"/>
        <w:rPr>
          <w:rFonts w:cs="Arial"/>
          <w:color w:val="0D0D0D"/>
          <w:sz w:val="20"/>
          <w:szCs w:val="22"/>
          <w:lang w:val="es-ES_tradnl"/>
        </w:rPr>
      </w:pPr>
    </w:p>
    <w:p w:rsidR="00C80622" w:rsidRPr="00C80622" w:rsidRDefault="005D36DB" w:rsidP="00C80622">
      <w:pPr>
        <w:autoSpaceDE w:val="0"/>
        <w:autoSpaceDN w:val="0"/>
        <w:adjustRightInd w:val="0"/>
        <w:ind w:left="360"/>
        <w:jc w:val="both"/>
        <w:rPr>
          <w:rFonts w:cs="Arial"/>
          <w:color w:val="0D0D0D"/>
          <w:sz w:val="22"/>
          <w:szCs w:val="24"/>
        </w:rPr>
      </w:pPr>
    </w:p>
    <w:p w:rsidR="00815CDD" w:rsidRPr="00301D93" w:rsidRDefault="005D36DB" w:rsidP="00C80622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DB" w:rsidRDefault="005D36DB">
      <w:r>
        <w:separator/>
      </w:r>
    </w:p>
  </w:endnote>
  <w:endnote w:type="continuationSeparator" w:id="0">
    <w:p w:rsidR="005D36DB" w:rsidRDefault="005D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5D36DB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5D36DB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5D36DB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5D36DB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5D36DB" w:rsidP="00BD6F23">
    <w:pPr>
      <w:pStyle w:val="Piedepgina"/>
      <w:jc w:val="left"/>
    </w:pPr>
  </w:p>
  <w:p w:rsidR="007732BF" w:rsidRDefault="005D3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DB" w:rsidRDefault="005D36DB">
      <w:r>
        <w:separator/>
      </w:r>
    </w:p>
  </w:footnote>
  <w:footnote w:type="continuationSeparator" w:id="0">
    <w:p w:rsidR="005D36DB" w:rsidRDefault="005D36DB">
      <w:r>
        <w:continuationSeparator/>
      </w:r>
    </w:p>
  </w:footnote>
  <w:footnote w:id="1">
    <w:p w:rsidR="00C80622" w:rsidRPr="00502B30" w:rsidRDefault="005D36DB" w:rsidP="00C80622">
      <w:pPr>
        <w:pStyle w:val="Textonotapie"/>
        <w:rPr>
          <w:rFonts w:ascii="Arial" w:hAnsi="Arial" w:cs="Arial"/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502B30">
        <w:rPr>
          <w:rFonts w:ascii="Arial" w:hAnsi="Arial" w:cs="Arial"/>
          <w:sz w:val="18"/>
        </w:rPr>
        <w:t xml:space="preserve">Circular 002 del </w:t>
      </w:r>
      <w:r w:rsidRPr="00502B30">
        <w:rPr>
          <w:rFonts w:ascii="Arial" w:hAnsi="Arial" w:cs="Arial"/>
          <w:sz w:val="18"/>
        </w:rPr>
        <w:t>15 de enero de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5D36DB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5D36D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5D36D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3-2015-21854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2015-10-20 15:35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707282</w:t>
                          </w:r>
                          <w:bookmarkEnd w:id="4"/>
                        </w:p>
                        <w:p w:rsidR="007732BF" w:rsidRPr="00C71928" w:rsidRDefault="005D36DB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ADRIANA DEL PILAR GUERRA MARTINEZ</w:t>
                          </w:r>
                          <w:bookmarkEnd w:id="5"/>
                        </w:p>
                        <w:p w:rsidR="007732BF" w:rsidRDefault="005D36D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5D36D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13000-20017</w:t>
                          </w:r>
                          <w:bookmarkEnd w:id="9"/>
                        </w:p>
                        <w:p w:rsidR="007732BF" w:rsidRPr="00FC7DD4" w:rsidRDefault="005D36D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707282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ADRIANA DEL PILAR GUERRA MARTINEZ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283E"/>
    <w:multiLevelType w:val="hybridMultilevel"/>
    <w:tmpl w:val="F4F886CE"/>
    <w:lvl w:ilvl="0" w:tplc="01F6B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0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C6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67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E3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A9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C2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66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AE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91073"/>
    <w:multiLevelType w:val="hybridMultilevel"/>
    <w:tmpl w:val="8946A4E2"/>
    <w:lvl w:ilvl="0" w:tplc="E5244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340C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0C0B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0CD4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0F2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981B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3437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ECF9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8E92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08325E"/>
    <w:multiLevelType w:val="hybridMultilevel"/>
    <w:tmpl w:val="D7D83674"/>
    <w:lvl w:ilvl="0" w:tplc="E7BCA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0D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24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00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E9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CB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6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CC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E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15977"/>
    <w:multiLevelType w:val="hybridMultilevel"/>
    <w:tmpl w:val="04B04410"/>
    <w:lvl w:ilvl="0" w:tplc="F0129566">
      <w:start w:val="1"/>
      <w:numFmt w:val="decimal"/>
      <w:lvlText w:val="%1."/>
      <w:lvlJc w:val="left"/>
      <w:pPr>
        <w:ind w:left="720" w:hanging="360"/>
      </w:pPr>
    </w:lvl>
    <w:lvl w:ilvl="1" w:tplc="FCE22EBC" w:tentative="1">
      <w:start w:val="1"/>
      <w:numFmt w:val="lowerLetter"/>
      <w:lvlText w:val="%2."/>
      <w:lvlJc w:val="left"/>
      <w:pPr>
        <w:ind w:left="1440" w:hanging="360"/>
      </w:pPr>
    </w:lvl>
    <w:lvl w:ilvl="2" w:tplc="57281DB0" w:tentative="1">
      <w:start w:val="1"/>
      <w:numFmt w:val="lowerRoman"/>
      <w:lvlText w:val="%3."/>
      <w:lvlJc w:val="right"/>
      <w:pPr>
        <w:ind w:left="2160" w:hanging="180"/>
      </w:pPr>
    </w:lvl>
    <w:lvl w:ilvl="3" w:tplc="66E27E72" w:tentative="1">
      <w:start w:val="1"/>
      <w:numFmt w:val="decimal"/>
      <w:lvlText w:val="%4."/>
      <w:lvlJc w:val="left"/>
      <w:pPr>
        <w:ind w:left="2880" w:hanging="360"/>
      </w:pPr>
    </w:lvl>
    <w:lvl w:ilvl="4" w:tplc="60E6F728" w:tentative="1">
      <w:start w:val="1"/>
      <w:numFmt w:val="lowerLetter"/>
      <w:lvlText w:val="%5."/>
      <w:lvlJc w:val="left"/>
      <w:pPr>
        <w:ind w:left="3600" w:hanging="360"/>
      </w:pPr>
    </w:lvl>
    <w:lvl w:ilvl="5" w:tplc="817A8AB2" w:tentative="1">
      <w:start w:val="1"/>
      <w:numFmt w:val="lowerRoman"/>
      <w:lvlText w:val="%6."/>
      <w:lvlJc w:val="right"/>
      <w:pPr>
        <w:ind w:left="4320" w:hanging="180"/>
      </w:pPr>
    </w:lvl>
    <w:lvl w:ilvl="6" w:tplc="4B462E4C" w:tentative="1">
      <w:start w:val="1"/>
      <w:numFmt w:val="decimal"/>
      <w:lvlText w:val="%7."/>
      <w:lvlJc w:val="left"/>
      <w:pPr>
        <w:ind w:left="5040" w:hanging="360"/>
      </w:pPr>
    </w:lvl>
    <w:lvl w:ilvl="7" w:tplc="78CCC5CE" w:tentative="1">
      <w:start w:val="1"/>
      <w:numFmt w:val="lowerLetter"/>
      <w:lvlText w:val="%8."/>
      <w:lvlJc w:val="left"/>
      <w:pPr>
        <w:ind w:left="5760" w:hanging="360"/>
      </w:pPr>
    </w:lvl>
    <w:lvl w:ilvl="8" w:tplc="14A43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73"/>
    <w:rsid w:val="005D36DB"/>
    <w:rsid w:val="007D6583"/>
    <w:rsid w:val="00B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0EE12D83-55DD-43E7-A44B-50CF8CC2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80622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C80622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C80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CCC2-86EC-4E9B-ABD3-87753E7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5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2015-10-20T20:38:00Z</dcterms:created>
  <dcterms:modified xsi:type="dcterms:W3CDTF">2015-10-20T20:38:00Z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